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С.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264.1 УК РФ (управляя другим механическим транспортным средством в состоянии опьянения, будучи подвергнутым административному наказания за управление транспортным средством в состоянии опьянения.</w:t>
      </w:r>
    </w:p>
    <w:p w14:paraId="02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С. октября 2025, находясь в состоянии опьянения, управлял автомобилем Хендай Элантра в г. Тосно, после чего был остановлен сотрудниками Госавтоинспекции ОМВ</w:t>
      </w:r>
      <w:r>
        <w:rPr>
          <w:rFonts w:ascii="Times New Roman" w:hAnsi="Times New Roman"/>
          <w:sz w:val="28"/>
        </w:rPr>
        <w:t xml:space="preserve">Д России по </w:t>
      </w:r>
      <w:r>
        <w:rPr>
          <w:rFonts w:ascii="Times New Roman" w:hAnsi="Times New Roman"/>
          <w:sz w:val="28"/>
        </w:rPr>
        <w:t>Тосненскому</w:t>
      </w:r>
      <w:r>
        <w:rPr>
          <w:rFonts w:ascii="Times New Roman" w:hAnsi="Times New Roman"/>
          <w:sz w:val="28"/>
        </w:rPr>
        <w:t xml:space="preserve"> району Ленинградской области, не выполнил законного требования о прохождении медицинского освидетельствования на состояние алкогольного опьянения.</w:t>
      </w:r>
    </w:p>
    <w:p w14:paraId="03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C. наз</w:t>
      </w:r>
      <w:r>
        <w:rPr>
          <w:rFonts w:ascii="Times New Roman" w:hAnsi="Times New Roman"/>
          <w:sz w:val="28"/>
        </w:rPr>
        <w:t>начено наказание в виде обязательных работ на срок 200 часов с лишением права заниматься деятельностью, связанной с управлением транспортными средствами на срок 2 года.</w:t>
      </w:r>
    </w:p>
    <w:p w14:paraId="04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Normal (Web)"/>
    <w:basedOn w:val="Style_1"/>
    <w:link w:val="Style_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next w:val="Style_1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widowControl w:val="0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2026-01-27T11:48:32Z</dcterms:created>
  <dcterms:modified xsi:type="dcterms:W3CDTF">2026-01-27T16:07:59Z</dcterms:modified>
</cp:coreProperties>
</file>