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гражданин Г. признана виновной в совершении преступления, предусмотренного ч. 1 </w:t>
      </w:r>
      <w:r>
        <w:br/>
      </w:r>
      <w:r>
        <w:rPr>
          <w:rFonts w:ascii="Times New Roman" w:hAnsi="Times New Roman"/>
          <w:sz w:val="28"/>
        </w:rPr>
        <w:t>ст. 228 УК РФ (незаконное приобретение, хранение без цели сбыта наркотических средств, в значительном размере).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Г. в сентябре 2025 по средствам мобильного телефона в сети Интернет заказал наркотическое средство, которое в этот же день по средствам «закладки» забрал в точно неустановленном месте г. Колпино г. Санкт-Петербурга, после чего передвигаясь на автомобиле в г. Тельмана Тосненского района был остановлен сотрудниками Госавтоинспекции, после чего указанное наркотическое средство было изъято сотрудниками полиции.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Г. наз</w:t>
      </w:r>
      <w:r>
        <w:rPr>
          <w:rFonts w:ascii="Times New Roman" w:hAnsi="Times New Roman"/>
          <w:sz w:val="28"/>
        </w:rPr>
        <w:t>начено наказание в виде штрафа в размере 30 тысяч рублей.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Normal (Web)"/>
    <w:basedOn w:val="Style_1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2025-12-17T14:06:53Z</dcterms:modified>
</cp:coreProperties>
</file>